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28465126"/>
        <w:docPartObj>
          <w:docPartGallery w:val="Cover Pages"/>
          <w:docPartUnique/>
        </w:docPartObj>
      </w:sdtPr>
      <w:sdtEndPr>
        <w:rPr>
          <w:rFonts w:asciiTheme="majorHAnsi" w:eastAsiaTheme="majorEastAsia" w:hAnsiTheme="majorHAnsi" w:cstheme="majorBidi"/>
          <w:color w:val="17365D" w:themeColor="text2" w:themeShade="BF"/>
          <w:spacing w:val="5"/>
          <w:kern w:val="28"/>
          <w:sz w:val="52"/>
          <w:szCs w:val="52"/>
        </w:r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1C2F29">
                <w:pPr>
                  <w:pStyle w:val="Bezproreda"/>
                  <w:rPr>
                    <w:rFonts w:ascii="Times New Roman" w:hAnsi="Times New Roman" w:cs="Times New Roman"/>
                    <w:color w:val="76923C" w:themeColor="accent3" w:themeShade="B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9" o:title="" grayscale="t"/>
                    </v:shape>
                    <o:OLEObject Type="Embed" ProgID="Word.Picture.8" ShapeID="_x0000_s1026" DrawAspect="Content" ObjectID="_1538480855" r:id="rId10"/>
                  </w:pi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581"/>
          </w:tblGrid>
          <w:tr w:rsidR="00B8285D" w:rsidRPr="00A712CC" w:rsidTr="00B8285D">
            <w:trPr>
              <w:trHeight w:val="2530"/>
            </w:trPr>
            <w:tc>
              <w:tcPr>
                <w:tcW w:w="0" w:type="auto"/>
              </w:tcPr>
              <w:p w:rsidR="00B260B8" w:rsidRPr="005F7081" w:rsidRDefault="00B260B8" w:rsidP="00B260B8">
                <w:pPr>
                  <w:rPr>
                    <w:rFonts w:ascii="Cambria" w:hAnsi="Cambria"/>
                    <w:b/>
                  </w:rPr>
                </w:pPr>
                <w:r w:rsidRPr="005F7081">
                  <w:rPr>
                    <w:rFonts w:ascii="Cambria" w:hAnsi="Cambria"/>
                  </w:rPr>
                  <w:t xml:space="preserve">Klasa: </w:t>
                </w:r>
                <w:r w:rsidR="00967618">
                  <w:rPr>
                    <w:rFonts w:ascii="Cambria" w:hAnsi="Cambria"/>
                  </w:rPr>
                  <w:t>361-01/16-01/09</w:t>
                </w:r>
              </w:p>
              <w:p w:rsidR="00B260B8" w:rsidRPr="005F7081" w:rsidRDefault="00B260B8" w:rsidP="00B260B8">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6</w:t>
                </w:r>
                <w:r w:rsidRPr="005F7081">
                  <w:rPr>
                    <w:rFonts w:ascii="Cambria" w:hAnsi="Cambria"/>
                  </w:rPr>
                  <w:t>-</w:t>
                </w:r>
                <w:r w:rsidR="00967618">
                  <w:rPr>
                    <w:rFonts w:ascii="Cambria" w:hAnsi="Cambria"/>
                  </w:rPr>
                  <w:t>2</w:t>
                </w:r>
                <w:r w:rsidRPr="005F7081">
                  <w:rPr>
                    <w:rFonts w:ascii="Cambria" w:hAnsi="Cambria"/>
                  </w:rPr>
                  <w:t xml:space="preserve">                                                                          </w:t>
                </w:r>
              </w:p>
              <w:p w:rsidR="00B260B8" w:rsidRPr="005F7081" w:rsidRDefault="00B260B8" w:rsidP="00B260B8">
                <w:pPr>
                  <w:rPr>
                    <w:rFonts w:ascii="Cambria" w:hAnsi="Cambria"/>
                  </w:rPr>
                </w:pPr>
                <w:r w:rsidRPr="005F7081">
                  <w:rPr>
                    <w:rFonts w:ascii="Cambria" w:hAnsi="Cambria"/>
                  </w:rPr>
                  <w:t xml:space="preserve">Vrgorac: </w:t>
                </w:r>
                <w:r w:rsidR="001B4947">
                  <w:rPr>
                    <w:rFonts w:ascii="Cambria" w:hAnsi="Cambria"/>
                  </w:rPr>
                  <w:t>20</w:t>
                </w:r>
                <w:r w:rsidR="00967618">
                  <w:rPr>
                    <w:rFonts w:ascii="Cambria" w:hAnsi="Cambria"/>
                  </w:rPr>
                  <w:t>. listopada</w:t>
                </w:r>
                <w:r>
                  <w:rPr>
                    <w:rFonts w:ascii="Cambria" w:hAnsi="Cambria"/>
                  </w:rPr>
                  <w:t xml:space="preserve"> 2016</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ZA NADMETANJE U BAGATELNOM  POSTUPKU JAVNE NABAVE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Pr="001C2F29">
            <w:rPr>
              <w:rFonts w:ascii="Cambria" w:hAnsi="Cambria"/>
            </w:rPr>
            <w:t>Konstruktivna sanacija Elezovih kuća</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EV: BN-06-16</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1"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2"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7E1CD0" w:rsidRPr="00A712CC">
        <w:t>0</w:t>
      </w:r>
      <w:r w:rsidR="00967618">
        <w:t>6</w:t>
      </w:r>
      <w:r w:rsidR="007A34C0">
        <w:t>/16</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A – pr</w:t>
      </w:r>
      <w:r w:rsidR="00DA4E5E">
        <w:t xml:space="preserve">ofectus,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javne nabave </w:t>
      </w:r>
      <w:r w:rsidR="007E1CD0" w:rsidRPr="00A712CC">
        <w:t>bagatelne</w:t>
      </w:r>
      <w:r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C37B11" w:rsidP="00FC42B4">
      <w:r>
        <w:t>280</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524C8F" w:rsidRDefault="00C37B11" w:rsidP="00FC42B4">
      <w:pPr>
        <w:rPr>
          <w:rFonts w:ascii="Cambria" w:hAnsi="Cambria"/>
        </w:rPr>
      </w:pPr>
      <w:r>
        <w:rPr>
          <w:rFonts w:ascii="Cambria" w:hAnsi="Cambria"/>
        </w:rPr>
        <w:t>Konstruktivna sanacija Elezovih kuća</w:t>
      </w:r>
    </w:p>
    <w:p w:rsidR="00C37B11" w:rsidRDefault="00C37B11" w:rsidP="00FC42B4"/>
    <w:p w:rsidR="0005609A" w:rsidRPr="00A712CC" w:rsidRDefault="0005609A"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r w:rsidR="00906A9C" w:rsidRPr="00A712CC">
              <w:rPr>
                <w:b/>
              </w:rPr>
              <w:t xml:space="preserve"> </w:t>
            </w:r>
            <w:r w:rsidRPr="00A712CC">
              <w:rPr>
                <w:b/>
              </w:rPr>
              <w:t>/</w:t>
            </w:r>
            <w:r w:rsidR="00906A9C" w:rsidRPr="00A712CC">
              <w:rPr>
                <w:b/>
              </w:rPr>
              <w:t xml:space="preserve"> </w:t>
            </w:r>
            <w:r w:rsidRPr="00A712CC">
              <w:rPr>
                <w:b/>
              </w:rPr>
              <w:t>ISPORUKE ROB</w:t>
            </w:r>
            <w:r w:rsidR="00906A9C" w:rsidRPr="00A712CC">
              <w:rPr>
                <w:b/>
              </w:rPr>
              <w:t>E</w:t>
            </w:r>
          </w:p>
        </w:tc>
      </w:tr>
    </w:tbl>
    <w:p w:rsidR="00F25DFF" w:rsidRPr="00A712CC" w:rsidRDefault="00F25DFF" w:rsidP="00F25DFF">
      <w:pPr>
        <w:jc w:val="both"/>
      </w:pPr>
    </w:p>
    <w:p w:rsidR="00F25DFF" w:rsidRPr="00A712CC" w:rsidRDefault="00C37B11" w:rsidP="00F25DFF">
      <w:pPr>
        <w:jc w:val="both"/>
      </w:pPr>
      <w:r>
        <w:t>Grad Vrgorac</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C37B11">
        <w:t>3</w:t>
      </w:r>
      <w:r w:rsidR="00524C8F">
        <w:t>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0" w:name="_Toc329951481"/>
      <w:bookmarkStart w:id="1" w:name="_Toc330386309"/>
      <w:bookmarkStart w:id="2"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0"/>
      <w:bookmarkEnd w:id="1"/>
      <w:bookmarkEnd w:id="2"/>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3" w:name="_Toc337691908"/>
      <w:r w:rsidRPr="00A712CC">
        <w:rPr>
          <w:rFonts w:ascii="Times New Roman" w:hAnsi="Times New Roman"/>
          <w:sz w:val="24"/>
          <w:szCs w:val="24"/>
        </w:rPr>
        <w:t>Plaćene dospjele porezne obveze i obveze za mirovinsko i zdravstveno osiguranje</w:t>
      </w:r>
      <w:bookmarkEnd w:id="3"/>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9"/>
      <w:r w:rsidRPr="00A712CC">
        <w:rPr>
          <w:rFonts w:ascii="Times New Roman" w:hAnsi="Times New Roman"/>
          <w:sz w:val="24"/>
          <w:szCs w:val="24"/>
        </w:rPr>
        <w:t>Lažni podaci</w:t>
      </w:r>
      <w:bookmarkEnd w:id="4"/>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povremenoj osnovi obavljati djelatnost građenja koju je prema propisima države u kojoj ima sjedište ovlaštena obavljati.</w:t>
      </w:r>
    </w:p>
    <w:p w:rsidR="00524C8F" w:rsidRPr="004424F4" w:rsidRDefault="00524C8F" w:rsidP="00524C8F">
      <w:pPr>
        <w:jc w:val="both"/>
      </w:pPr>
      <w:r w:rsidRPr="004424F4">
        <w:t>Izjavu daje osoba koja je po zakonu ovlaštena za zastupanje gospodarskog subjekta.</w:t>
      </w:r>
    </w:p>
    <w:p w:rsidR="00524C8F" w:rsidRPr="004424F4" w:rsidRDefault="00524C8F" w:rsidP="00524C8F">
      <w:pPr>
        <w:jc w:val="both"/>
      </w:pPr>
      <w:r w:rsidRPr="004424F4">
        <w:t xml:space="preserve">-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w:t>
      </w:r>
      <w:r w:rsidRPr="004424F4">
        <w:lastRenderedPageBreak/>
        <w:t>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rPr>
          <w:b/>
          <w:i/>
          <w:u w:val="single"/>
        </w:rPr>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006A6856" w:rsidRPr="00F06DA6">
        <w:rPr>
          <w:b/>
          <w:i/>
          <w:u w:val="single"/>
        </w:rPr>
        <w:t>IZJAVU O OVLAŠTENOM VODITELJU GRAĐENJA GRAĐEVINSKE STRUKE.</w:t>
      </w:r>
    </w:p>
    <w:p w:rsidR="006A6856" w:rsidRDefault="006A6856" w:rsidP="00524C8F">
      <w:pPr>
        <w:jc w:val="both"/>
        <w:rPr>
          <w:b/>
          <w:i/>
          <w:u w:val="single"/>
        </w:rPr>
      </w:pPr>
    </w:p>
    <w:p w:rsidR="00C37B11" w:rsidRDefault="00C37B11" w:rsidP="00524C8F">
      <w:pPr>
        <w:jc w:val="both"/>
        <w:rPr>
          <w:b/>
          <w:i/>
          <w:u w:val="single"/>
        </w:rPr>
      </w:pPr>
    </w:p>
    <w:p w:rsidR="00C37B11" w:rsidRPr="00C37B11" w:rsidRDefault="00C37B11" w:rsidP="00524C8F">
      <w:pPr>
        <w:jc w:val="both"/>
        <w:rPr>
          <w:b/>
        </w:rPr>
      </w:pPr>
      <w:r w:rsidRPr="00C37B11">
        <w:rPr>
          <w:b/>
        </w:rPr>
        <w:t>4.2. Ovlaštenje, suglasnost i slično ako su gospodarskom subjektu potrebni u zemlji sjedišta za obavljanje djelatnosti povezane s predmetom nabave (</w:t>
      </w:r>
      <w:r w:rsidR="006A6856" w:rsidRPr="00C37B11">
        <w:rPr>
          <w:b/>
        </w:rPr>
        <w:t>RJEŠENJE O DOPUŠTENJU IZVOĐENJA RADOVA NA NEPOKRETNOM KULTURNOM DOBRU IZDAN OD STRANE UPRAVE ZA ZAŠTITU KULTURNE BAŠTINE MINISTARSTVA KULTURE</w:t>
      </w:r>
      <w:r w:rsidRPr="00C37B11">
        <w:rPr>
          <w:b/>
        </w:rPr>
        <w:t>)</w:t>
      </w: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C37B11" w:rsidRDefault="00C37B11"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B3353A" w:rsidRPr="00A712CC" w:rsidRDefault="00B3353A" w:rsidP="006A411A">
      <w:pPr>
        <w:pStyle w:val="Odlomakpopisa"/>
        <w:ind w:left="360"/>
        <w:rPr>
          <w:b/>
        </w:rPr>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lastRenderedPageBreak/>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r w:rsidR="00141AD5" w:rsidRPr="00A712CC">
        <w:rPr>
          <w:rFonts w:eastAsia="Arial"/>
        </w:rPr>
        <w:t>U slučaju da su dvije ili više ponuda jednako rangirane prema kriteriju odabira, naručitelj će sukladno članku 96. s</w:t>
      </w:r>
      <w:r w:rsidR="00416FC4" w:rsidRPr="00A712CC">
        <w:rPr>
          <w:rFonts w:eastAsia="Arial"/>
        </w:rPr>
        <w:t>tavak 5. Zakona o javnoj nabavi</w:t>
      </w:r>
      <w:r w:rsidR="00141AD5" w:rsidRPr="00A712CC">
        <w:rPr>
          <w:rFonts w:eastAsia="Arial"/>
        </w:rPr>
        <w:t xml:space="preserve"> odabrati ponudu koja je zaprimljena ranije.</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4655B4">
        <w:rPr>
          <w:rFonts w:eastAsia="Arial"/>
        </w:rPr>
        <w:t>90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Pr="0049386A" w:rsidRDefault="0049386A" w:rsidP="0049386A"/>
    <w:p w:rsidR="008B2BD9" w:rsidRPr="0049386A" w:rsidRDefault="0049386A" w:rsidP="0049386A">
      <w:pPr>
        <w:pStyle w:val="Naslov"/>
      </w:pPr>
      <w:r>
        <w:rPr>
          <w:b/>
        </w:rPr>
        <w:lastRenderedPageBreak/>
        <w:t>6.</w:t>
      </w:r>
      <w:r w:rsidR="008B2BD9" w:rsidRPr="0049386A">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C37B11">
        <w:tc>
          <w:tcPr>
            <w:tcW w:w="675" w:type="dxa"/>
            <w:shd w:val="clear" w:color="auto" w:fill="95B3D7" w:themeFill="accent1" w:themeFillTint="99"/>
          </w:tcPr>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EA528E" w:rsidRPr="00A712CC" w:rsidRDefault="00EA528E" w:rsidP="00C37B11">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lastRenderedPageBreak/>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Pr="002819EE" w:rsidRDefault="00F3116A" w:rsidP="00F3116A">
      <w:pPr>
        <w:pStyle w:val="Odlomakpopisa"/>
        <w:numPr>
          <w:ilvl w:val="0"/>
          <w:numId w:val="34"/>
        </w:num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nji rok za dostavu ponuda  je</w:t>
      </w:r>
      <w:r w:rsidRPr="009A237A">
        <w:rPr>
          <w:rFonts w:eastAsia="Arial"/>
          <w:bCs/>
        </w:rPr>
        <w:t xml:space="preserve"> </w:t>
      </w:r>
      <w:r w:rsidR="001A155C">
        <w:rPr>
          <w:rFonts w:eastAsia="Arial"/>
          <w:b/>
          <w:bCs/>
        </w:rPr>
        <w:t>2</w:t>
      </w:r>
      <w:r w:rsidR="0005609A">
        <w:rPr>
          <w:rFonts w:eastAsia="Arial"/>
          <w:b/>
          <w:bCs/>
        </w:rPr>
        <w:t>6</w:t>
      </w:r>
      <w:r w:rsidR="00E96AD6" w:rsidRPr="00F34963">
        <w:rPr>
          <w:rFonts w:eastAsia="Arial"/>
          <w:b/>
        </w:rPr>
        <w:t>.</w:t>
      </w:r>
      <w:r w:rsidR="004C703E" w:rsidRPr="00F34963">
        <w:rPr>
          <w:rFonts w:eastAsia="Arial"/>
          <w:b/>
        </w:rPr>
        <w:t xml:space="preserve"> listopada</w:t>
      </w:r>
      <w:r w:rsidR="007A34C0">
        <w:rPr>
          <w:rFonts w:eastAsia="Arial"/>
          <w:b/>
          <w:bCs/>
        </w:rPr>
        <w:t xml:space="preserve"> 2016</w:t>
      </w:r>
      <w:r w:rsidRPr="00A712CC">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1A155C">
        <w:rPr>
          <w:rFonts w:eastAsia="Arial"/>
          <w:b/>
        </w:rPr>
        <w:t>2</w:t>
      </w:r>
      <w:r w:rsidR="0005609A">
        <w:rPr>
          <w:rFonts w:eastAsia="Arial"/>
          <w:b/>
        </w:rPr>
        <w:t>6</w:t>
      </w:r>
      <w:r w:rsidR="007A34C0" w:rsidRPr="00A712CC">
        <w:rPr>
          <w:rFonts w:eastAsia="Arial"/>
          <w:b/>
        </w:rPr>
        <w:t xml:space="preserve">. </w:t>
      </w:r>
      <w:r w:rsidR="004C703E">
        <w:rPr>
          <w:rFonts w:eastAsia="Arial"/>
          <w:b/>
        </w:rPr>
        <w:t>listopada</w:t>
      </w:r>
      <w:r w:rsidR="007A34C0">
        <w:rPr>
          <w:rFonts w:eastAsia="Arial"/>
          <w:b/>
          <w:bCs/>
        </w:rPr>
        <w:t xml:space="preserve"> 2016</w:t>
      </w:r>
      <w:r w:rsidR="007A34C0" w:rsidRPr="00A712CC">
        <w:rPr>
          <w:rFonts w:eastAsia="Arial"/>
          <w:b/>
          <w:bCs/>
        </w:rPr>
        <w:t>. u 10:00 sati</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21,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 xml:space="preserve">Tijekom roka za dostavu ponuda ponuditelj može ponudu mijenjati i dopunjavati, ili od ponude odustati na temelju pisane izjave. Promjene i dopune ponude, ili odustajanje od ponude, </w:t>
      </w:r>
      <w:r w:rsidRPr="00A712CC">
        <w:rPr>
          <w:rFonts w:eastAsia="Arial"/>
        </w:rPr>
        <w:lastRenderedPageBreak/>
        <w:t>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FE32C3" w:rsidRDefault="00FE32C3" w:rsidP="0011553D">
      <w:pPr>
        <w:jc w:val="both"/>
        <w:rPr>
          <w:rFonts w:eastAsia="Arial"/>
          <w:b/>
        </w:rPr>
      </w:pP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F5B66" w:rsidRPr="00A712CC" w:rsidRDefault="004F5B66" w:rsidP="004F5B66">
      <w:pPr>
        <w:pStyle w:val="Bezproreda"/>
        <w:spacing w:before="120" w:after="120"/>
        <w:jc w:val="both"/>
        <w:rPr>
          <w:rFonts w:ascii="Times New Roman" w:hAnsi="Times New Roman" w:cs="Times New Roman"/>
          <w:sz w:val="24"/>
          <w:szCs w:val="24"/>
        </w:rPr>
      </w:pPr>
    </w:p>
    <w:p w:rsidR="00196EBF" w:rsidRPr="00A712CC" w:rsidRDefault="00196EBF" w:rsidP="00B3353A">
      <w:pPr>
        <w:pStyle w:val="Odlomakpopisa"/>
        <w:ind w:left="54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B3353A" w:rsidRPr="00A712CC" w:rsidTr="00B11F43">
        <w:tc>
          <w:tcPr>
            <w:tcW w:w="696" w:type="dxa"/>
            <w:shd w:val="clear" w:color="auto" w:fill="95B3D7" w:themeFill="accent1" w:themeFillTint="99"/>
          </w:tcPr>
          <w:p w:rsidR="00B3353A" w:rsidRPr="00A712CC" w:rsidRDefault="00B3353A" w:rsidP="00C37B11">
            <w:pPr>
              <w:jc w:val="center"/>
              <w:rPr>
                <w:b/>
              </w:rPr>
            </w:pPr>
            <w:r w:rsidRPr="00A712CC">
              <w:rPr>
                <w:b/>
              </w:rPr>
              <w:t>6.14.</w:t>
            </w:r>
          </w:p>
        </w:tc>
        <w:tc>
          <w:tcPr>
            <w:tcW w:w="8592" w:type="dxa"/>
            <w:shd w:val="clear" w:color="auto" w:fill="95B3D7" w:themeFill="accent1" w:themeFillTint="99"/>
          </w:tcPr>
          <w:p w:rsidR="00B3353A" w:rsidRPr="00A712CC" w:rsidRDefault="00B3353A" w:rsidP="00C37B11">
            <w:pPr>
              <w:jc w:val="both"/>
              <w:rPr>
                <w:rFonts w:eastAsia="Arial"/>
                <w:b/>
                <w:bCs/>
                <w:color w:val="000000"/>
              </w:rPr>
            </w:pPr>
            <w:r w:rsidRPr="00A712CC">
              <w:rPr>
                <w:rFonts w:eastAsia="Arial"/>
                <w:b/>
                <w:bCs/>
                <w:color w:val="000000"/>
              </w:rPr>
              <w:t xml:space="preserve">UPUTA O PRAVNOM LIJEKU </w:t>
            </w:r>
          </w:p>
        </w:tc>
      </w:tr>
    </w:tbl>
    <w:p w:rsidR="0011553D" w:rsidRPr="00A712CC" w:rsidRDefault="0011553D" w:rsidP="0011553D">
      <w:pPr>
        <w:tabs>
          <w:tab w:val="left" w:pos="7589"/>
        </w:tabs>
        <w:jc w:val="both"/>
        <w:rPr>
          <w:rFonts w:eastAsia="Arial"/>
          <w:color w:val="000000"/>
        </w:rPr>
      </w:pPr>
      <w:r w:rsidRPr="00A712CC">
        <w:rPr>
          <w:rFonts w:eastAsia="Arial"/>
          <w:color w:val="000000"/>
        </w:rPr>
        <w:tab/>
      </w:r>
    </w:p>
    <w:p w:rsidR="0011553D" w:rsidRDefault="00F746CB" w:rsidP="0011553D">
      <w:pPr>
        <w:jc w:val="both"/>
        <w:rPr>
          <w:rFonts w:ascii="Cambria" w:hAnsi="Cambria" w:cs="Arial"/>
          <w:bCs/>
        </w:rPr>
      </w:pPr>
      <w:r w:rsidRPr="00F746CB">
        <w:rPr>
          <w:rFonts w:ascii="Cambria" w:hAnsi="Cambria" w:cs="Arial"/>
          <w:bCs/>
        </w:rPr>
        <w:t xml:space="preserve">U postupcima bagatelne nabave, ponuditelji nemaju pravo žalbe Državnoj komisiji za kontrolu postupaka javne nabave, a sve sukladno članku 18. </w:t>
      </w:r>
      <w:r>
        <w:rPr>
          <w:rFonts w:ascii="Cambria" w:hAnsi="Cambria" w:cs="Arial"/>
          <w:bCs/>
        </w:rPr>
        <w:t>s</w:t>
      </w:r>
      <w:r w:rsidRPr="00F746CB">
        <w:rPr>
          <w:rFonts w:ascii="Cambria" w:hAnsi="Cambria" w:cs="Arial"/>
          <w:bCs/>
        </w:rPr>
        <w:t>tavak 3. Zakona o javnoj nabavi.</w:t>
      </w: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378A8" w:rsidRPr="00D33343" w:rsidRDefault="006378A8" w:rsidP="00F3116A">
      <w:pPr>
        <w:pStyle w:val="Naslov4"/>
        <w:keepNext w:val="0"/>
        <w:ind w:firstLine="0"/>
        <w:contextualSpacing/>
        <w:rPr>
          <w:rFonts w:ascii="Arial" w:hAnsi="Arial" w:cs="Arial"/>
          <w:color w:val="FFFFFF"/>
          <w:sz w:val="20"/>
          <w:szCs w:val="20"/>
        </w:rPr>
      </w:pPr>
      <w:bookmarkStart w:id="5" w:name="_Toc337691944"/>
      <w:r w:rsidRPr="00D33343">
        <w:rPr>
          <w:rFonts w:ascii="Arial" w:hAnsi="Arial" w:cs="Arial"/>
          <w:color w:val="FFFFFF"/>
          <w:sz w:val="20"/>
          <w:szCs w:val="20"/>
        </w:rPr>
        <w:lastRenderedPageBreak/>
        <w:t>t</w:t>
      </w:r>
      <w:bookmarkEnd w:id="5"/>
    </w:p>
    <w:p w:rsidR="006378A8" w:rsidRPr="00110419" w:rsidRDefault="006378A8" w:rsidP="006378A8">
      <w:pPr>
        <w:tabs>
          <w:tab w:val="left" w:pos="6705"/>
        </w:tabs>
        <w:jc w:val="both"/>
        <w:rPr>
          <w:bCs/>
          <w:iCs/>
          <w:lang w:eastAsia="en-US"/>
        </w:rPr>
      </w:pPr>
      <w:r w:rsidRPr="00110419">
        <w:t>Temeljem otvorenog postupka bagatelne javne nab</w:t>
      </w:r>
      <w:r w:rsidR="00176F1D">
        <w:t>ave, evidencijski broj EV: BN-06</w:t>
      </w:r>
      <w:r w:rsidRPr="00110419">
        <w:t xml:space="preserve">/16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EV: BN-06</w:t>
      </w:r>
      <w:r>
        <w:rPr>
          <w:iCs/>
        </w:rPr>
        <w:t>/16</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t>2016</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127704" w:rsidRDefault="00127704"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110419" w:rsidRDefault="006378A8" w:rsidP="006378A8">
      <w:pPr>
        <w:tabs>
          <w:tab w:val="left" w:pos="6705"/>
        </w:tabs>
        <w:jc w:val="both"/>
        <w:rPr>
          <w:bCs/>
          <w:iCs/>
          <w:lang w:eastAsia="en-US"/>
        </w:rPr>
      </w:pPr>
      <w:r w:rsidRPr="00110419">
        <w:lastRenderedPageBreak/>
        <w:t>Temeljem otvorenog postupka bagatelne javne nab</w:t>
      </w:r>
      <w:r w:rsidR="004C703E">
        <w:t>ave, evidencijski broj EV: BN-0</w:t>
      </w:r>
      <w:r w:rsidR="00176F1D">
        <w:t>6</w:t>
      </w:r>
      <w:r w:rsidRPr="00110419">
        <w:t xml:space="preserve">/16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6378A8" w:rsidP="006378A8">
      <w:pPr>
        <w:jc w:val="both"/>
      </w:pPr>
      <w:r w:rsidRPr="003C7A31">
        <w:t>U otvorenome postupku javne nabave „</w:t>
      </w:r>
      <w:r w:rsidR="004C703E">
        <w:rPr>
          <w:rFonts w:ascii="Cambria" w:hAnsi="Cambria"/>
        </w:rPr>
        <w:t>Konstruktivna sanacija Elezovih kuća</w:t>
      </w:r>
      <w:r w:rsidRPr="003C7A31">
        <w:t>“, Ponuditelj ili nositelj zajedničke ponude</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6378A8" w:rsidRPr="003C7A31" w:rsidRDefault="006378A8" w:rsidP="006378A8">
      <w:pPr>
        <w:jc w:val="both"/>
      </w:pPr>
      <w:r w:rsidRPr="003C7A31">
        <w:t>sljedeće:</w:t>
      </w: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2016</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3"/>
          <w:pgSz w:w="11907" w:h="16839" w:code="9"/>
          <w:pgMar w:top="274" w:right="1286" w:bottom="851" w:left="1418" w:header="277" w:footer="709" w:gutter="0"/>
          <w:cols w:space="708"/>
          <w:docGrid w:linePitch="360"/>
        </w:sectPr>
      </w:pPr>
    </w:p>
    <w:p w:rsidR="006378A8" w:rsidRPr="00110419" w:rsidRDefault="006378A8" w:rsidP="006378A8">
      <w:pPr>
        <w:tabs>
          <w:tab w:val="left" w:pos="6705"/>
        </w:tabs>
        <w:jc w:val="both"/>
        <w:rPr>
          <w:bCs/>
          <w:iCs/>
          <w:lang w:eastAsia="en-US"/>
        </w:rPr>
      </w:pPr>
      <w:r w:rsidRPr="00110419">
        <w:lastRenderedPageBreak/>
        <w:t>Temeljem otvorenog postupka bagatelne javne nab</w:t>
      </w:r>
      <w:r w:rsidR="00176F1D">
        <w:t>ave, evidencijski broj EV: BN-06</w:t>
      </w:r>
      <w:r w:rsidRPr="00110419">
        <w:t xml:space="preserve">/16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Pr="004C703E" w:rsidRDefault="006378A8" w:rsidP="006378A8">
      <w:pPr>
        <w:jc w:val="both"/>
        <w:rPr>
          <w:rFonts w:asciiTheme="majorHAnsi" w:hAnsiTheme="majorHAnsi"/>
        </w:rPr>
      </w:pPr>
      <w:r w:rsidRPr="004C703E">
        <w:rPr>
          <w:rFonts w:asciiTheme="majorHAnsi" w:hAnsiTheme="majorHAnsi"/>
        </w:rPr>
        <w:t xml:space="preserve">U otvorenome postupku javne nabave EV: </w:t>
      </w:r>
      <w:r w:rsidR="00087DB0">
        <w:rPr>
          <w:rFonts w:asciiTheme="majorHAnsi" w:hAnsiTheme="majorHAnsi"/>
        </w:rPr>
        <w:t>BN-06</w:t>
      </w:r>
      <w:r w:rsidRPr="004C703E">
        <w:rPr>
          <w:rFonts w:asciiTheme="majorHAnsi" w:hAnsiTheme="majorHAnsi"/>
        </w:rPr>
        <w:t>/16, Ponuditelj ili nositelj zajedničke ponude</w:t>
      </w:r>
    </w:p>
    <w:p w:rsidR="006378A8" w:rsidRDefault="006378A8" w:rsidP="006378A8">
      <w:pPr>
        <w:jc w:val="both"/>
      </w:pP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 ili nositelja zajedničke ponude)</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2016</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lastRenderedPageBreak/>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5776"/>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5805"/>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37"/>
        <w:gridCol w:w="5744"/>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Pr>
                <w:b/>
                <w:bCs/>
              </w:rPr>
              <w:t>90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4"/>
          <w:footerReference w:type="default" r:id="rId15"/>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6" w:name="_Toc337691945"/>
      <w:r>
        <w:rPr>
          <w:rFonts w:ascii="Arial" w:hAnsi="Arial" w:cs="Arial"/>
          <w:color w:val="FFFFFF"/>
          <w:sz w:val="20"/>
          <w:szCs w:val="20"/>
        </w:rPr>
        <w:lastRenderedPageBreak/>
        <w:t>Ponudbeni list zajednice ponuditelja</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5855"/>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4"/>
        <w:gridCol w:w="5786"/>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637"/>
        <w:gridCol w:w="5744"/>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r>
              <w:rPr>
                <w:b/>
                <w:bCs/>
              </w:rPr>
              <w:t>90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p w:rsidR="006378A8" w:rsidRPr="00C64ED0"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2"/>
        <w:gridCol w:w="5808"/>
      </w:tblGrid>
      <w:tr w:rsidR="006378A8" w:rsidRPr="00C64ED0" w:rsidTr="00F3116A">
        <w:trPr>
          <w:trHeight w:val="415"/>
        </w:trPr>
        <w:tc>
          <w:tcPr>
            <w:tcW w:w="9180"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1.</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5807"/>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w:t>
            </w:r>
            <w:bookmarkStart w:id="7" w:name="_GoBack"/>
            <w:bookmarkEnd w:id="7"/>
            <w:r w:rsidRPr="00C64ED0">
              <w:rPr>
                <w:b/>
                <w:bCs/>
                <w:sz w:val="22"/>
                <w:szCs w:val="22"/>
              </w:rPr>
              <w:t xml:space="preserv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8"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6"/>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47" w:rsidRDefault="001B4947" w:rsidP="008D328F">
      <w:r>
        <w:separator/>
      </w:r>
    </w:p>
  </w:endnote>
  <w:endnote w:type="continuationSeparator" w:id="0">
    <w:p w:rsidR="001B4947" w:rsidRDefault="001B4947"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Pr="000C4551" w:rsidRDefault="001B4947" w:rsidP="00C37B1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6406"/>
      <w:docPartObj>
        <w:docPartGallery w:val="Page Numbers (Bottom of Page)"/>
        <w:docPartUnique/>
      </w:docPartObj>
    </w:sdtPr>
    <w:sdtEndPr/>
    <w:sdtContent>
      <w:p w:rsidR="001B4947" w:rsidRDefault="001B4947">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B4947" w:rsidRDefault="001B4947"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1B4947" w:rsidRDefault="001B4947"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47" w:rsidRDefault="001B4947" w:rsidP="008D328F">
      <w:r>
        <w:separator/>
      </w:r>
    </w:p>
  </w:footnote>
  <w:footnote w:type="continuationSeparator" w:id="0">
    <w:p w:rsidR="001B4947" w:rsidRDefault="001B4947" w:rsidP="008D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Default="001B4947" w:rsidP="00C37B11">
    <w:pPr>
      <w:pStyle w:val="Zaglavlje"/>
      <w:ind w:firstLine="708"/>
      <w:rPr>
        <w:color w:val="365F91"/>
      </w:rPr>
    </w:pPr>
  </w:p>
  <w:p w:rsidR="001B4947" w:rsidRDefault="001B494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47" w:rsidRDefault="001B4947" w:rsidP="00C37B11">
    <w:pPr>
      <w:pStyle w:val="Zaglavlje"/>
      <w:rPr>
        <w:color w:val="365F91"/>
      </w:rPr>
    </w:pPr>
  </w:p>
  <w:p w:rsidR="001B4947" w:rsidRDefault="001B494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8F"/>
    <w:rsid w:val="00052926"/>
    <w:rsid w:val="0005319E"/>
    <w:rsid w:val="0005609A"/>
    <w:rsid w:val="00087DB0"/>
    <w:rsid w:val="000B1FE2"/>
    <w:rsid w:val="000B4AC4"/>
    <w:rsid w:val="000E0EA1"/>
    <w:rsid w:val="000E5025"/>
    <w:rsid w:val="0011553D"/>
    <w:rsid w:val="00127704"/>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86BB1"/>
    <w:rsid w:val="00294BC1"/>
    <w:rsid w:val="003128F9"/>
    <w:rsid w:val="003263CB"/>
    <w:rsid w:val="003A46CD"/>
    <w:rsid w:val="003A52EF"/>
    <w:rsid w:val="00416FC4"/>
    <w:rsid w:val="004172E2"/>
    <w:rsid w:val="00423C21"/>
    <w:rsid w:val="004655B4"/>
    <w:rsid w:val="00493805"/>
    <w:rsid w:val="0049386A"/>
    <w:rsid w:val="004A19C9"/>
    <w:rsid w:val="004B342B"/>
    <w:rsid w:val="004C703E"/>
    <w:rsid w:val="004F1519"/>
    <w:rsid w:val="004F5B66"/>
    <w:rsid w:val="0052041C"/>
    <w:rsid w:val="00524C8F"/>
    <w:rsid w:val="00532238"/>
    <w:rsid w:val="00533237"/>
    <w:rsid w:val="005360C2"/>
    <w:rsid w:val="005678FA"/>
    <w:rsid w:val="00571937"/>
    <w:rsid w:val="005A3033"/>
    <w:rsid w:val="0060101E"/>
    <w:rsid w:val="00607F18"/>
    <w:rsid w:val="006378A8"/>
    <w:rsid w:val="00664C63"/>
    <w:rsid w:val="006A3B0C"/>
    <w:rsid w:val="006A411A"/>
    <w:rsid w:val="006A6856"/>
    <w:rsid w:val="006A75CD"/>
    <w:rsid w:val="006C7348"/>
    <w:rsid w:val="006D15D2"/>
    <w:rsid w:val="006F40C1"/>
    <w:rsid w:val="007136C0"/>
    <w:rsid w:val="00732D0A"/>
    <w:rsid w:val="00786213"/>
    <w:rsid w:val="007954CF"/>
    <w:rsid w:val="007A22A1"/>
    <w:rsid w:val="007A34C0"/>
    <w:rsid w:val="007C3640"/>
    <w:rsid w:val="007E14D5"/>
    <w:rsid w:val="007E1CD0"/>
    <w:rsid w:val="007E7C43"/>
    <w:rsid w:val="00826C4A"/>
    <w:rsid w:val="00854E40"/>
    <w:rsid w:val="00875D0C"/>
    <w:rsid w:val="00894DD3"/>
    <w:rsid w:val="008B2BD9"/>
    <w:rsid w:val="008D328F"/>
    <w:rsid w:val="00906A9C"/>
    <w:rsid w:val="00916F8C"/>
    <w:rsid w:val="0091770A"/>
    <w:rsid w:val="00931FCC"/>
    <w:rsid w:val="009351F3"/>
    <w:rsid w:val="009576A0"/>
    <w:rsid w:val="00967618"/>
    <w:rsid w:val="0097363D"/>
    <w:rsid w:val="0098569E"/>
    <w:rsid w:val="009A237A"/>
    <w:rsid w:val="009C34E3"/>
    <w:rsid w:val="009D6EC7"/>
    <w:rsid w:val="009F2EF6"/>
    <w:rsid w:val="00A712CC"/>
    <w:rsid w:val="00AA3408"/>
    <w:rsid w:val="00AD3D07"/>
    <w:rsid w:val="00AE60B9"/>
    <w:rsid w:val="00AF03D1"/>
    <w:rsid w:val="00B11BE2"/>
    <w:rsid w:val="00B11F43"/>
    <w:rsid w:val="00B260B8"/>
    <w:rsid w:val="00B30554"/>
    <w:rsid w:val="00B3353A"/>
    <w:rsid w:val="00B54390"/>
    <w:rsid w:val="00B65333"/>
    <w:rsid w:val="00B66B3A"/>
    <w:rsid w:val="00B8285D"/>
    <w:rsid w:val="00BA424D"/>
    <w:rsid w:val="00BD18E1"/>
    <w:rsid w:val="00BD6BC7"/>
    <w:rsid w:val="00C0226C"/>
    <w:rsid w:val="00C37B11"/>
    <w:rsid w:val="00C50F7B"/>
    <w:rsid w:val="00C52DA2"/>
    <w:rsid w:val="00C536FF"/>
    <w:rsid w:val="00C60C2C"/>
    <w:rsid w:val="00CE42A0"/>
    <w:rsid w:val="00D02311"/>
    <w:rsid w:val="00D17E1E"/>
    <w:rsid w:val="00D364D8"/>
    <w:rsid w:val="00D73B81"/>
    <w:rsid w:val="00D74B8C"/>
    <w:rsid w:val="00D95774"/>
    <w:rsid w:val="00DA4E5E"/>
    <w:rsid w:val="00DA5494"/>
    <w:rsid w:val="00E52524"/>
    <w:rsid w:val="00E53DB5"/>
    <w:rsid w:val="00E644A8"/>
    <w:rsid w:val="00E96AD6"/>
    <w:rsid w:val="00EA459B"/>
    <w:rsid w:val="00EA528E"/>
    <w:rsid w:val="00EB5938"/>
    <w:rsid w:val="00F06AF4"/>
    <w:rsid w:val="00F124CF"/>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jel.pervan@vrgora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gorac.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5B8D-7381-4F5E-BCE6-31817A30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22</Pages>
  <Words>5147</Words>
  <Characters>29339</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34418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63</cp:revision>
  <cp:lastPrinted>2016-10-20T12:43:00Z</cp:lastPrinted>
  <dcterms:created xsi:type="dcterms:W3CDTF">2014-02-05T08:57:00Z</dcterms:created>
  <dcterms:modified xsi:type="dcterms:W3CDTF">2016-10-20T13:01:00Z</dcterms:modified>
</cp:coreProperties>
</file>