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CA" w:rsidRDefault="004269E3" w:rsidP="00EF18CA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</w:t>
      </w:r>
      <w:r w:rsidR="00EF18CA">
        <w:rPr>
          <w:noProof/>
          <w:sz w:val="22"/>
          <w:szCs w:val="22"/>
        </w:rPr>
        <w:drawing>
          <wp:inline distT="0" distB="0" distL="0" distR="0">
            <wp:extent cx="466725" cy="6096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8CA" w:rsidRPr="00BF5F2D" w:rsidRDefault="00EF18CA" w:rsidP="00EF18CA">
      <w:pPr>
        <w:rPr>
          <w:rFonts w:asciiTheme="majorHAnsi" w:hAnsiTheme="majorHAnsi"/>
          <w:sz w:val="28"/>
          <w:szCs w:val="28"/>
        </w:rPr>
      </w:pPr>
      <w:r w:rsidRPr="00BF5F2D">
        <w:rPr>
          <w:rFonts w:asciiTheme="majorHAnsi" w:hAnsiTheme="majorHAnsi"/>
          <w:b/>
          <w:bCs/>
          <w:sz w:val="28"/>
          <w:szCs w:val="28"/>
        </w:rPr>
        <w:t xml:space="preserve">     R E P U B L I K A   H R V A T S K A</w:t>
      </w:r>
    </w:p>
    <w:p w:rsidR="00EF18CA" w:rsidRPr="00BF5F2D" w:rsidRDefault="00EF18CA" w:rsidP="00EF18CA">
      <w:pPr>
        <w:rPr>
          <w:rFonts w:asciiTheme="majorHAnsi" w:hAnsiTheme="majorHAnsi"/>
          <w:sz w:val="28"/>
          <w:szCs w:val="28"/>
        </w:rPr>
      </w:pPr>
      <w:r w:rsidRPr="00BF5F2D">
        <w:rPr>
          <w:rFonts w:asciiTheme="majorHAnsi" w:hAnsiTheme="majorHAnsi"/>
          <w:sz w:val="28"/>
          <w:szCs w:val="28"/>
        </w:rPr>
        <w:t>SPLITSKO-DALMATINSKA ŽUPANIJA</w:t>
      </w:r>
    </w:p>
    <w:p w:rsidR="00A53709" w:rsidRPr="00BF5F2D" w:rsidRDefault="00EF18CA" w:rsidP="00EF18CA">
      <w:pPr>
        <w:rPr>
          <w:rFonts w:asciiTheme="majorHAnsi" w:hAnsiTheme="majorHAnsi"/>
          <w:sz w:val="28"/>
          <w:szCs w:val="28"/>
        </w:rPr>
      </w:pPr>
      <w:r w:rsidRPr="00BF5F2D">
        <w:rPr>
          <w:rFonts w:asciiTheme="majorHAnsi" w:hAnsiTheme="majorHAnsi"/>
          <w:sz w:val="28"/>
          <w:szCs w:val="28"/>
        </w:rPr>
        <w:t xml:space="preserve">              G R A D   V R G O R A C</w:t>
      </w:r>
    </w:p>
    <w:p w:rsidR="00360480" w:rsidRPr="00CA5AC5" w:rsidRDefault="004269E3" w:rsidP="00EF18C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r w:rsidR="00360480" w:rsidRPr="00BF5F2D">
        <w:rPr>
          <w:rFonts w:asciiTheme="majorHAnsi" w:hAnsiTheme="majorHAnsi"/>
          <w:sz w:val="28"/>
          <w:szCs w:val="28"/>
        </w:rPr>
        <w:t>Jedinstveni upravni odjel</w:t>
      </w:r>
    </w:p>
    <w:p w:rsidR="00360480" w:rsidRDefault="00360480" w:rsidP="00EF18CA"/>
    <w:p w:rsidR="00360480" w:rsidRDefault="00360480" w:rsidP="00EF18CA"/>
    <w:p w:rsidR="00360480" w:rsidRDefault="00360480" w:rsidP="00EF18CA"/>
    <w:p w:rsidR="00BF5F2D" w:rsidRPr="00712241" w:rsidRDefault="00BF5F2D" w:rsidP="00712241">
      <w:pPr>
        <w:jc w:val="center"/>
        <w:rPr>
          <w:rFonts w:asciiTheme="majorHAnsi" w:hAnsiTheme="majorHAnsi"/>
          <w:b/>
          <w:sz w:val="28"/>
          <w:szCs w:val="28"/>
        </w:rPr>
      </w:pPr>
      <w:r w:rsidRPr="00712241">
        <w:rPr>
          <w:rFonts w:asciiTheme="majorHAnsi" w:hAnsiTheme="majorHAnsi"/>
          <w:b/>
          <w:sz w:val="28"/>
          <w:szCs w:val="28"/>
        </w:rPr>
        <w:t>OBAVIJEST I POZIV OBVEZNICIMA POREZA NA NEKRETNINE</w:t>
      </w:r>
    </w:p>
    <w:p w:rsidR="00BF5F2D" w:rsidRPr="00712241" w:rsidRDefault="00BF5F2D" w:rsidP="00712241">
      <w:pPr>
        <w:jc w:val="center"/>
        <w:rPr>
          <w:rFonts w:asciiTheme="majorHAnsi" w:hAnsiTheme="majorHAnsi"/>
          <w:b/>
          <w:sz w:val="28"/>
          <w:szCs w:val="28"/>
        </w:rPr>
      </w:pPr>
      <w:r w:rsidRPr="00712241">
        <w:rPr>
          <w:rFonts w:asciiTheme="majorHAnsi" w:hAnsiTheme="majorHAnsi"/>
          <w:b/>
          <w:sz w:val="28"/>
          <w:szCs w:val="28"/>
        </w:rPr>
        <w:t>za dostavu podataka o poreznom obvezniku i podataka o nekretninama prema Zakonu o lokalnim porezima</w:t>
      </w:r>
    </w:p>
    <w:p w:rsidR="00BF5F2D" w:rsidRPr="00BF5F2D" w:rsidRDefault="00BF5F2D" w:rsidP="00BF5F2D">
      <w:pPr>
        <w:rPr>
          <w:rFonts w:asciiTheme="majorHAnsi" w:hAnsiTheme="majorHAnsi"/>
          <w:sz w:val="28"/>
          <w:szCs w:val="28"/>
        </w:rPr>
      </w:pP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Poštovani,</w:t>
      </w:r>
    </w:p>
    <w:p w:rsidR="00712241" w:rsidRPr="00CA5AC5" w:rsidRDefault="00712241" w:rsidP="00BF5F2D">
      <w:pPr>
        <w:jc w:val="both"/>
        <w:rPr>
          <w:rFonts w:asciiTheme="majorHAnsi" w:hAnsiTheme="majorHAnsi"/>
          <w:sz w:val="26"/>
          <w:szCs w:val="26"/>
        </w:rPr>
      </w:pP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dana 01. siječnja 2017.godine stupio je na snagu Zakon o lokalnim porezima („Narodne novine“ br. 115/2016) (dalje u tekstu Zakon), kojim se u porezni sustav Republike Hrvatske uvodi porez na nekretnine, a ukida komunalna naknada propisana Zakonom o komunalnom gospodarstvu.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Člankom 20. stavkom 2. Zakona propisano je da su sve jedinice lokalne samouprave (dalje u tekstu JLS), dužne uvesti i naplaćivati porez na nekretnine, prema članku 70. Zakona, s danom stupanja na snagu odredbi koje se odnose na porez na nekretnine odnosno od 01. siječnja 2018. godine.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Porezni obveznici se obavještavaju: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- da je predmet oporezivanja nekretnina,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- da je porezni obveznik svaka osoba koja nekretninu samostalno posjeduje (u smislu Zakona to je vlasnik nekretnine), ali i nesamostalni posjednik ako je porezna obveza pravnim poslom prenesena na nesamostalnog posjednika, ako se koristi nekretnina u vlasništvu općine, grada ili županije ili Republike Hrvatske, ako nema valjani pravni temelj posjedovanja nekretnine ili je vlasnik nepoznat,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- da se porez na nekretnine obračunava na ukupnu neto podnu površinu nekretnine (prostora koji je oporeziv) sukladno propisu o uvjetima i mjerilima za utvrđivanje zaštićene najamnine, te na stvarnu površinu zemljišta,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- da se nekretninom smatra stambeni prostor, poslovni prostor, garažni prostor i drugi pomoćni te ostali prostori bez namjene, građevinsko zemljište koje se koristi u svrhu obavljanja poslovne djelatnosti i neizgrađeno građevinsko zemljište ako se nalazi unutar građevinskog područja,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- da se neizgrađenim građevinskim zemljištem smatra zemljište koje svojom veličinom i oblikom ispunjava uvjete za građenje prema važećem prostornom planu i opremljeno je najmanje pristupnom cestom, vodovima el. energije i vode prema mjesnim prilikama, a na njemu nije izgrađena nikakva građevina za koju je potrebna građevinska dozvola,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- da se dodatnim sadržajima smatraju osobito bazeni, saune, sportski tereni i sl.,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lastRenderedPageBreak/>
        <w:t>- da se godišnji iznos poreza po m2 obračunske površine nekretnine utvrđuje množenjem: vrijednosti boda (B), koeficijenta zone (Kz), koeficijenta namjene (Kn), koeficijenta stanja (Ks) i koeficijenta dobi (Kd),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- da se rješenje o porezu na nekretnine donosi do 31. ožujka za tekuću kalendarsku godinu prema stanju nekretnine i poreznog obveznika na dan 01. siječnja tekuće godine i takvo rješenje je na snazi dok ne nastane promjena koja je od utjecaja na utvrđivanje porezne obveze. Sve promjene koje nastanu tijekom kalendarske godine, a od utjecaja su na utvrđivanje porezne obveze (tj. sve činjenice koje utječu na visinu obračuna i utvrđivanje osobe poreznog obveznika), primjenjuju se od sljedeće kalendarske godine,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- da se rješenjem o porezu utvrđuje porezni obveznik, iznos poreza po m2 obračunske površine, obračunska površina, ukupni iznos poreza u godišnjem iznosu i rokovi plaćanja.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Porez na nekretnine utvrđuju i naplaćuju JLS na području kojih se nekretnina nalazi i prihod je te JLS. Stoga su JLS obvezne tijekom 2017. godine ustrojiti i dalje voditi strukturiranu Evidenciju o nekretninama i o poreznim obveznicima plaćanja poreza na nekretnine. Za prikupljanje podataka zadužen je Jedinstveni upravni odjel Grada Vrgorca, koji ovim putem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</w:p>
    <w:p w:rsidR="00BF5F2D" w:rsidRPr="00CA5AC5" w:rsidRDefault="00BF5F2D" w:rsidP="00BF5F2D">
      <w:pPr>
        <w:jc w:val="both"/>
        <w:rPr>
          <w:rFonts w:asciiTheme="majorHAnsi" w:hAnsiTheme="majorHAnsi"/>
          <w:b/>
          <w:sz w:val="26"/>
          <w:szCs w:val="26"/>
        </w:rPr>
      </w:pPr>
      <w:r w:rsidRPr="00CA5AC5">
        <w:rPr>
          <w:rFonts w:asciiTheme="majorHAnsi" w:hAnsiTheme="majorHAnsi"/>
          <w:b/>
          <w:sz w:val="26"/>
          <w:szCs w:val="26"/>
        </w:rPr>
        <w:t>poziva vlasnike i korisnike nekretnina na području Grada Vrgorca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da, radi ustrojavanja i vođenja Evidencije, te radi pravilnog utvrđivanja činjenica bitnih za donošenje rješenja o porezu na nekretnine i zaduživanja obveznika plaćanja poreza, dostave podatke o nekretninama i poreznim obveznicima koristeći priložene obrasce, posebno za svaku adresu nekretnine odnosno katastarsku česticu</w:t>
      </w:r>
      <w:r w:rsidR="00B462B7" w:rsidRPr="00CA5AC5">
        <w:rPr>
          <w:rFonts w:asciiTheme="majorHAnsi" w:hAnsiTheme="majorHAnsi"/>
          <w:sz w:val="26"/>
          <w:szCs w:val="26"/>
        </w:rPr>
        <w:t xml:space="preserve"> ili ih popune uz pomoć djelatnika </w:t>
      </w:r>
      <w:r w:rsidR="00B06FA1" w:rsidRPr="00CA5AC5">
        <w:rPr>
          <w:rFonts w:asciiTheme="majorHAnsi" w:hAnsiTheme="majorHAnsi"/>
          <w:sz w:val="26"/>
          <w:szCs w:val="26"/>
        </w:rPr>
        <w:t>gradske uprave koji će obilaziti sva naselja koja pripadaju području Grada Vrgorca.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 xml:space="preserve">Svi obrasci su dostupni </w:t>
      </w:r>
      <w:r w:rsidR="00BC761E" w:rsidRPr="00CA5AC5">
        <w:rPr>
          <w:rFonts w:asciiTheme="majorHAnsi" w:hAnsiTheme="majorHAnsi"/>
          <w:sz w:val="26"/>
          <w:szCs w:val="26"/>
        </w:rPr>
        <w:t>u</w:t>
      </w:r>
      <w:r w:rsidR="00DB1BE6" w:rsidRPr="00CA5AC5">
        <w:rPr>
          <w:rFonts w:asciiTheme="majorHAnsi" w:hAnsiTheme="majorHAnsi"/>
          <w:sz w:val="26"/>
          <w:szCs w:val="26"/>
        </w:rPr>
        <w:t xml:space="preserve"> portirnici zgrade Grada Vrgorca </w:t>
      </w:r>
      <w:r w:rsidRPr="00CA5AC5">
        <w:rPr>
          <w:rFonts w:asciiTheme="majorHAnsi" w:hAnsiTheme="majorHAnsi"/>
          <w:sz w:val="26"/>
          <w:szCs w:val="26"/>
        </w:rPr>
        <w:t>i na internetskoj stranici  www.vrgorac.hr, a mogu se ispunjeni dostaviti osobno predajom u pisarnici Grada, putem pošte ili elektroničkim putem na e-mail adresu: grad@vrgorac.hr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  <w:r w:rsidRPr="00CA5AC5">
        <w:rPr>
          <w:rFonts w:asciiTheme="majorHAnsi" w:hAnsiTheme="majorHAnsi"/>
          <w:sz w:val="26"/>
          <w:szCs w:val="26"/>
        </w:rPr>
        <w:t>Eventualno potrebnu pomoć u popunjavanju obrazaca, dodatne informacije i upute molimo da zatražite putem tel. 021 680 128 ili 021 680 129, elektronski na e-mail paula.granic@vrgorac.hr ili per</w:t>
      </w:r>
      <w:r w:rsidR="00CA5AC5" w:rsidRPr="00CA5AC5">
        <w:rPr>
          <w:rFonts w:asciiTheme="majorHAnsi" w:hAnsiTheme="majorHAnsi"/>
          <w:sz w:val="26"/>
          <w:szCs w:val="26"/>
        </w:rPr>
        <w:t>o</w:t>
      </w:r>
      <w:r w:rsidRPr="00CA5AC5">
        <w:rPr>
          <w:rFonts w:asciiTheme="majorHAnsi" w:hAnsiTheme="majorHAnsi"/>
          <w:sz w:val="26"/>
          <w:szCs w:val="26"/>
        </w:rPr>
        <w:t xml:space="preserve">.erceg@vrgorac.hr i  osobno </w:t>
      </w:r>
      <w:r w:rsidR="00712241" w:rsidRPr="00CA5AC5">
        <w:rPr>
          <w:rFonts w:asciiTheme="majorHAnsi" w:hAnsiTheme="majorHAnsi"/>
          <w:sz w:val="26"/>
          <w:szCs w:val="26"/>
        </w:rPr>
        <w:t>uportirnici</w:t>
      </w:r>
      <w:r w:rsidRPr="00CA5AC5">
        <w:rPr>
          <w:rFonts w:asciiTheme="majorHAnsi" w:hAnsiTheme="majorHAnsi"/>
          <w:sz w:val="26"/>
          <w:szCs w:val="26"/>
        </w:rPr>
        <w:t xml:space="preserve"> gradsk</w:t>
      </w:r>
      <w:r w:rsidR="00712241" w:rsidRPr="00CA5AC5">
        <w:rPr>
          <w:rFonts w:asciiTheme="majorHAnsi" w:hAnsiTheme="majorHAnsi"/>
          <w:sz w:val="26"/>
          <w:szCs w:val="26"/>
        </w:rPr>
        <w:t>e</w:t>
      </w:r>
      <w:r w:rsidRPr="00CA5AC5">
        <w:rPr>
          <w:rFonts w:asciiTheme="majorHAnsi" w:hAnsiTheme="majorHAnsi"/>
          <w:sz w:val="26"/>
          <w:szCs w:val="26"/>
        </w:rPr>
        <w:t xml:space="preserve"> uprav</w:t>
      </w:r>
      <w:r w:rsidR="00712241" w:rsidRPr="00CA5AC5">
        <w:rPr>
          <w:rFonts w:asciiTheme="majorHAnsi" w:hAnsiTheme="majorHAnsi"/>
          <w:sz w:val="26"/>
          <w:szCs w:val="26"/>
        </w:rPr>
        <w:t>e</w:t>
      </w:r>
      <w:r w:rsidRPr="00CA5AC5">
        <w:rPr>
          <w:rFonts w:asciiTheme="majorHAnsi" w:hAnsiTheme="majorHAnsi"/>
          <w:sz w:val="26"/>
          <w:szCs w:val="26"/>
        </w:rPr>
        <w:t>.</w:t>
      </w:r>
    </w:p>
    <w:p w:rsidR="00BF5F2D" w:rsidRPr="00CA5AC5" w:rsidRDefault="00BF5F2D" w:rsidP="00BF5F2D">
      <w:pPr>
        <w:jc w:val="both"/>
        <w:rPr>
          <w:rFonts w:asciiTheme="majorHAnsi" w:hAnsiTheme="majorHAnsi"/>
          <w:sz w:val="26"/>
          <w:szCs w:val="26"/>
        </w:rPr>
      </w:pPr>
    </w:p>
    <w:p w:rsidR="00360480" w:rsidRPr="00CA5AC5" w:rsidRDefault="00BF5F2D" w:rsidP="00BF5F2D">
      <w:pPr>
        <w:jc w:val="both"/>
        <w:rPr>
          <w:rFonts w:asciiTheme="majorHAnsi" w:hAnsiTheme="majorHAnsi"/>
          <w:b/>
          <w:sz w:val="26"/>
          <w:szCs w:val="26"/>
        </w:rPr>
      </w:pPr>
      <w:r w:rsidRPr="00CA5AC5">
        <w:rPr>
          <w:rFonts w:asciiTheme="majorHAnsi" w:hAnsiTheme="majorHAnsi"/>
          <w:b/>
          <w:sz w:val="26"/>
          <w:szCs w:val="26"/>
        </w:rPr>
        <w:t>Ukoliko se traženi podaci ne dostave ili ako se oni bitno razlikuju od podataka kojima raspolaže JLS dobivenim od Državne geodetske uprave, Ministarstva graditeljstva i prostornog uređenja i Ministarstva financija – Porezne uprave, porezna obveza će se utvrditi na osnovi podataka kojima raspolaže JLS s najvišim koeficijentima utvrđenima Zakonom za stanje i dob nekretnine.</w:t>
      </w:r>
    </w:p>
    <w:sectPr w:rsidR="00360480" w:rsidRPr="00CA5AC5" w:rsidSect="006B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0EB"/>
    <w:multiLevelType w:val="hybridMultilevel"/>
    <w:tmpl w:val="E872DB40"/>
    <w:lvl w:ilvl="0" w:tplc="897016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B1CE8"/>
    <w:multiLevelType w:val="multilevel"/>
    <w:tmpl w:val="25CA40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2B9660FE"/>
    <w:multiLevelType w:val="hybridMultilevel"/>
    <w:tmpl w:val="A90EE906"/>
    <w:lvl w:ilvl="0" w:tplc="75641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209F1"/>
    <w:multiLevelType w:val="multilevel"/>
    <w:tmpl w:val="0D143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B352D9A"/>
    <w:multiLevelType w:val="hybridMultilevel"/>
    <w:tmpl w:val="278EDAE6"/>
    <w:lvl w:ilvl="0" w:tplc="BD9C805E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79381E7F"/>
    <w:multiLevelType w:val="hybridMultilevel"/>
    <w:tmpl w:val="202469F2"/>
    <w:lvl w:ilvl="0" w:tplc="C554B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8CA"/>
    <w:rsid w:val="00027BF6"/>
    <w:rsid w:val="000B33E9"/>
    <w:rsid w:val="0011385E"/>
    <w:rsid w:val="00152328"/>
    <w:rsid w:val="001540D4"/>
    <w:rsid w:val="001D3A6A"/>
    <w:rsid w:val="001E6711"/>
    <w:rsid w:val="001F14C3"/>
    <w:rsid w:val="001F1BF3"/>
    <w:rsid w:val="001F36DD"/>
    <w:rsid w:val="002629D4"/>
    <w:rsid w:val="002D0BB9"/>
    <w:rsid w:val="003021A3"/>
    <w:rsid w:val="00325797"/>
    <w:rsid w:val="00327B83"/>
    <w:rsid w:val="00336EAC"/>
    <w:rsid w:val="00343987"/>
    <w:rsid w:val="00360480"/>
    <w:rsid w:val="00367E9D"/>
    <w:rsid w:val="003B1E9E"/>
    <w:rsid w:val="00415EE6"/>
    <w:rsid w:val="00420E4D"/>
    <w:rsid w:val="004269E3"/>
    <w:rsid w:val="00432C2F"/>
    <w:rsid w:val="0045107D"/>
    <w:rsid w:val="004633FE"/>
    <w:rsid w:val="004A7F6D"/>
    <w:rsid w:val="00595890"/>
    <w:rsid w:val="005B1757"/>
    <w:rsid w:val="005C2C0F"/>
    <w:rsid w:val="005E434E"/>
    <w:rsid w:val="0061105A"/>
    <w:rsid w:val="00623326"/>
    <w:rsid w:val="006431B8"/>
    <w:rsid w:val="00647B1C"/>
    <w:rsid w:val="0066184A"/>
    <w:rsid w:val="006A68F0"/>
    <w:rsid w:val="006B070D"/>
    <w:rsid w:val="006C18F1"/>
    <w:rsid w:val="006F61ED"/>
    <w:rsid w:val="00712241"/>
    <w:rsid w:val="00742C43"/>
    <w:rsid w:val="00783262"/>
    <w:rsid w:val="0084028B"/>
    <w:rsid w:val="0084215D"/>
    <w:rsid w:val="008615D0"/>
    <w:rsid w:val="00864CE2"/>
    <w:rsid w:val="0086637A"/>
    <w:rsid w:val="008D431E"/>
    <w:rsid w:val="0091582D"/>
    <w:rsid w:val="0095197D"/>
    <w:rsid w:val="009A70BE"/>
    <w:rsid w:val="00A53709"/>
    <w:rsid w:val="00AA4581"/>
    <w:rsid w:val="00AC2AC7"/>
    <w:rsid w:val="00AE507A"/>
    <w:rsid w:val="00B06FA1"/>
    <w:rsid w:val="00B074F1"/>
    <w:rsid w:val="00B3538C"/>
    <w:rsid w:val="00B41F48"/>
    <w:rsid w:val="00B462B7"/>
    <w:rsid w:val="00BA42DE"/>
    <w:rsid w:val="00BC761E"/>
    <w:rsid w:val="00BF5F2D"/>
    <w:rsid w:val="00C36CF2"/>
    <w:rsid w:val="00C54168"/>
    <w:rsid w:val="00C76E34"/>
    <w:rsid w:val="00C84D80"/>
    <w:rsid w:val="00C91A87"/>
    <w:rsid w:val="00CA5AC5"/>
    <w:rsid w:val="00CD7A36"/>
    <w:rsid w:val="00CE4524"/>
    <w:rsid w:val="00D358BF"/>
    <w:rsid w:val="00D40D83"/>
    <w:rsid w:val="00DA626A"/>
    <w:rsid w:val="00DB1BE6"/>
    <w:rsid w:val="00DF170B"/>
    <w:rsid w:val="00DF4F2A"/>
    <w:rsid w:val="00E10D21"/>
    <w:rsid w:val="00E8075D"/>
    <w:rsid w:val="00ED34E2"/>
    <w:rsid w:val="00EE3CF2"/>
    <w:rsid w:val="00EF18CA"/>
    <w:rsid w:val="00F06888"/>
    <w:rsid w:val="00F15FBF"/>
    <w:rsid w:val="00F2168D"/>
    <w:rsid w:val="00F2344E"/>
    <w:rsid w:val="00F47F6B"/>
    <w:rsid w:val="00FA68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C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0B33E9"/>
    <w:pPr>
      <w:ind w:left="720"/>
      <w:contextualSpacing/>
    </w:pPr>
  </w:style>
  <w:style w:type="table" w:styleId="TableGrid">
    <w:name w:val="Table Grid"/>
    <w:basedOn w:val="TableNormal"/>
    <w:uiPriority w:val="59"/>
    <w:rsid w:val="00E80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18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8C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B33E9"/>
    <w:pPr>
      <w:ind w:left="720"/>
      <w:contextualSpacing/>
    </w:pPr>
  </w:style>
  <w:style w:type="table" w:styleId="Reetkatablice">
    <w:name w:val="Table Grid"/>
    <w:basedOn w:val="Obinatablica"/>
    <w:uiPriority w:val="59"/>
    <w:rsid w:val="00E8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dradic</dc:creator>
  <cp:lastModifiedBy>Teo</cp:lastModifiedBy>
  <cp:revision>12</cp:revision>
  <cp:lastPrinted>2017-06-19T08:35:00Z</cp:lastPrinted>
  <dcterms:created xsi:type="dcterms:W3CDTF">2017-06-19T07:09:00Z</dcterms:created>
  <dcterms:modified xsi:type="dcterms:W3CDTF">2017-06-19T10:59:00Z</dcterms:modified>
</cp:coreProperties>
</file>