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2e202496441b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29357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VRGORAC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5.093.787,18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5.387.761,88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4.219.894,79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5.620.251,97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232.490,09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9.809,32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14.875,24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822.971,62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1.241.871,52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813.162,30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1.226.996,28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311.205,65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583.257,12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691.805,69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524.376,42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58.880,70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319.869,95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1.400.605,67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437,9</w:t>
            </w:r>
          </w:p>
        </w:tc>
      </w:tr>
    </w:tbl>
    <w:p>
      <w:pPr>
        <w:spacing w:before="0" w:after="0"/>
      </w:pPr>
    </w:p>
    <w:p>
      <w:r>
        <w:t xml:space="preserve">Grad Vrgorac i proračunski korisnici grada Vrgorca za razdoblje od 01.01.2025. do 31.12.2025. godine ostvarili su manjak prihoda i primitaka u iznosu od 1.400.605,67 €.  Ovaj manjak je rezultat ostvarenog manjka prihoda poslovanja u iznosu 232.490,09 € (šifra Y001), manjak prihoda od nefinancijske imovine u iznosu od 1.226.996,28 € (Y002) i ostvarenog viška primitaka od financijske imovine i zaduživanja u iznosu od 58.880,70 € (X003).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5.093.787,18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5.387.761,88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Prihodi poslovanja su za razdoblje siječanj-prosinac 2025. godine ostvareni u iznosu od 5.387.761,88 €, od čega se na prihode od poreza odnosi 2.237.578,42 €. U razdoblju od siječnja do prosinca 2025. godine je ostvareno 2.196.335,29 €  prihoda od poreza na dohodak.</w:t>
      </w:r>
    </w:p>
    <w:p>
      <w:r>
        <w:t xml:space="preserve">Porez na imovinu je ostvaren u iznosu od 41.243,13 €, a odnosi se na porez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2.412.712,00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2.511.550,91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Prihodi od pomoći su ostvareni u iznosu od 2.511.550,91 € , od čega su tekuće pomoći iz županijskog proračuna ostvarene u iznosu od 19.174,82 €, sredstva od fiskalnog izravnavanja ostvarena su u iznosu od 1.059.893,44 €, tekuće pomoći iz državnog proračuna za fiskalnu održivost dječjih vrtića ostvarene su u iznosu od 294.636,00 €, te tekuće pomoći iz državnog proračuna u iznosu od 50.069,40 €.</w:t>
      </w:r>
    </w:p>
    <w:p>
      <w:r>
        <w:t xml:space="preserve">Kapitalne pomoći iz državnog proračuna ostvarene su u iznosu od 161.661,25 €, od čega se najznačajniji iznosi odnose na sufinanciranje kupnje dizalice topline u iznosu od 96.661,25  €, te sufinanciranje uređenja nogostupa u ulici Tina Ujevića u iznosu od 55.699,15 €.</w:t>
      </w:r>
    </w:p>
    <w:p>
      <w:r>
        <w:t xml:space="preserve">Kapitalne pomoći iz županijskog proračuna ostvarene su u iznosu od 157.000,00 €, od čega za rekonstrukciju i adaptaciju vatrogasnog doma 105.000,00 €, te uređenje nogostupa u ulici Tina Ujevića 29.000,00 €.</w:t>
      </w:r>
    </w:p>
    <w:p>
      <w:r>
        <w:t xml:space="preserve">Proračunski korisnici su ostvarili pomoći u iznosu od 26.139,91 €.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587.215,07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742.976,09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r>
        <w:t xml:space="preserve">Pomoći temeljem prijenosa EU sredstava ostvarene su u iznosu od 742.976,09 € te se odnose na sredstava za financiranje projekta Zaželi – „Niste sami“ faza IV. u iznosu od 342.861,07 €.</w:t>
      </w:r>
    </w:p>
    <w:p>
      <w:r>
        <w:t xml:space="preserve">Kapitalne pomoći iz državnog proračuna temeljem prijenosa EU sredstava za financiranje projekta DV Pčelica u parku ostvarene su u iznosu od 268.352,50 €,  za igralište u Dusini za projekt Potpora za lokalni razvoj u sklopu inicijative LAG- LEADER iznosi 29.924,75 €, te za reciklažno dvorište pomoći iznose 101.287,37 €.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54.949,30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</w:tbl>
    <w:p>
      <w:pPr>
        <w:spacing w:before="0" w:after="0"/>
      </w:pPr>
    </w:p>
    <w:p>
      <w:r>
        <w:t xml:space="preserve">Prihod od imovine u iznosu od 52.987,75 € se odnosi na prihode od iznajmljivanja imovine 18.824,56 € i ostale prihode od nefinancijske imovine u iznosu od 34.117,14 € (pravo služnosti puta).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503.966,78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508.562,63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</w:tbl>
    <w:p>
      <w:pPr>
        <w:spacing w:before="0" w:after="0"/>
      </w:pPr>
    </w:p>
    <w:p>
      <w:r>
        <w:t xml:space="preserve">Prihodi od administrativnih pristojbi i po posebnim propisima iznose 508.562,63 €  od čega se na prihode od participacije dječjeg vrtića „Pčelica“ odnosi 185.870,07€, prihod od komunalnog doprinosa i komunalne naknade  iznosi 316.398,52 €.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81.589,08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67.692,82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 ostvareni su u iznosu od 67.692,82 €, od čega su  prihodi od donacija ostvareni su u iznosu od 40.500,00 €, te prihodi od prodaje proizvoda i robe te pruženih usluga u iznosu od 27.192,82 €.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5.370,45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9.389,35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174,8</w:t>
            </w:r>
          </w:p>
        </w:tc>
      </w:tr>
    </w:tbl>
    <w:p>
      <w:pPr>
        <w:spacing w:before="0" w:after="0"/>
      </w:pPr>
    </w:p>
    <w:p>
      <w:r>
        <w:t xml:space="preserve">- Prihodi od kazni, upravnih mjera i ostali prihodi u iznosu od 9.389,35 € se u najvećem dijelu odnose na kazne koje naplaćuje komunalno redarstvo.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1.420.192,35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2.159.740,88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152,1</w:t>
            </w:r>
          </w:p>
        </w:tc>
      </w:tr>
    </w:tbl>
    <w:p>
      <w:pPr>
        <w:spacing w:before="0" w:after="0"/>
      </w:pPr>
    </w:p>
    <w:p>
      <w:r>
        <w:t xml:space="preserve">Rashodi za zaposlene su iskazani u iznosu od 2.159.740,88 €, a odnose se na plaće 15 djelatnika gradske uprave Grada Vrgorca, 33 zaposlenice EU projekta Zaželi – „Niste sami„ faza IV. od (1.05.2024.), te 52 zaposlenih kod proračunskih korisnika.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1.645.995,64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1.646.941,59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100,1</w:t>
            </w:r>
          </w:p>
        </w:tc>
      </w:tr>
    </w:tbl>
    <w:p>
      <w:pPr>
        <w:spacing w:before="0" w:after="0"/>
      </w:pPr>
    </w:p>
    <w:p>
      <w:r>
        <w:t xml:space="preserve">Materijalni rashodi su iskazani u iznosu od 1.646.941,59 €, a oni su iskazani u izvještaju po vrsti.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3681+3682)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376.442,12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Kapitalne pomoći temeljem prijenosa EU sredstava iskazane su u iznosu od 376.442,12 € za financiranje Izgradnje doma za starije i nemoćne u Dragljanima.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192.872,55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226.564,97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Naknade građanima i kućanstvima su ostvarene u iznosu od 226.564,97 €, a odnose se na jednokratne novčane pomoći, pomoći u podmirenju troškova električne energije i komunalnih usluga građanima slabijeg imovnog stanja, stipendije studentima i učenicima,  naknade za novorođenčad.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822.848,66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1.026.833,10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Ostali rashodi su iskazani u iznosu od 1.026.833,10 €  i to tekućih pomoći 827.196,00 € te 182.287,10 € kapitalnih pomoći trgovačkim društvima u vlasništvu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9.809,32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14.875,24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151,6</w:t>
            </w:r>
          </w:p>
        </w:tc>
      </w:tr>
    </w:tbl>
    <w:p>
      <w:pPr>
        <w:spacing w:before="0" w:after="0"/>
      </w:pPr>
    </w:p>
    <w:p>
      <w:r>
        <w:t xml:space="preserve">Prihodi od prodaje nefinancijske imovine su iskazani u iznosu od 14.875,24 €, a odnose se na prihode od prodaje građevinskih objekata u iznosu od 11.585,74 €, prihode od otkupa stanova u vlasništvu države 3.289,50 €.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822.971,62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1.241.871,52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150,9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iskazani u iznosu od 1.241.871,52 €, a najveći dio odnosi se na Izgradnju reciklažnog dvorišta u iznosu od 488.364,61 €,  Izradu projektno tehničke dokumentacije za Povijesni grad budućnosti u iznosu od 187.915,00 €, Izgradnju vidikovca u Vrgorcu u iznosu od 127.963,46 €, opremu za grijanje i ventilaciju u iznosu od 90.411,25 €, izgradnju nogostupa u iznosu od 154.757,44 €, te uređenje prihvatnih kapela u mjesnih odborima u iznosu od 31.336,58 €.</w:t>
      </w:r>
    </w:p>
    <w:p>
      <w:r>
        <w:t xml:space="preserve">Rashodi za nabavu nefinancijske imovine kod proračunskih korisnika iznosi 19.664,68 €,  najvećim dijelom se odnosi na otkup knjiga u iznosu od 10.600,00 €.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311.205,65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583.257,12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187,4</w:t>
            </w:r>
          </w:p>
        </w:tc>
      </w:tr>
    </w:tbl>
    <w:p>
      <w:pPr>
        <w:spacing w:before="0" w:after="0"/>
      </w:pPr>
    </w:p>
    <w:p>
      <w:r>
        <w:t xml:space="preserve">Primici od financijske imovine i zaduživanja iznose 583.257,12 € , a odnose se na kratkoročna zaduživanja kod Erste banke za plaćanje troškova projekata koji se sufinanciraju iz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691.805,69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524.376,42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</w:tbl>
    <w:p>
      <w:pPr>
        <w:spacing w:before="0" w:after="0"/>
      </w:pPr>
    </w:p>
    <w:p>
      <w:r>
        <w:t xml:space="preserve">Na ovoj šifri je iskazano 524.376,42 €, a odnose se na otplatu glavnica kratkoročnih i dugoročnih kredita kod Erste banke u iznosu od 454.861,61 € i 69.514,81 € se odnosi na beskamatni zajam Ministarstva financija za povrat poreza i prireza po godišnjoj prijavi za 2022. godinu (49.514,81 €) te 20.000,00 € s osnove odgođenih plaćanja MFIN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319.869,95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1.400.605,67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437,9</w:t>
            </w:r>
          </w:p>
        </w:tc>
      </w:tr>
    </w:tbl>
    <w:p>
      <w:pPr>
        <w:spacing w:before="0" w:after="0"/>
      </w:pPr>
    </w:p>
    <w:p>
      <w:r>
        <w:t xml:space="preserve">Na ovoj šifri  je iskazan iznos od 1.400.605,67 € koji se odnosi na manjak prihoda i primitaka. Ovaj manjak je rezultat ostvarenog manjka prihoda poslovanja u iznosu 232.490,09 € (šifra Y001), manjak prihoda od nefinancijske imovine u iznosu od 1.226.996,28 € (Y002) i ostvarenog viška primitaka od financijske imovine i zaduživanja u iznosu od 58.880,70 € (X003).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389.253,00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1.789.569,46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459,7</w:t>
            </w:r>
          </w:p>
        </w:tc>
      </w:tr>
    </w:tbl>
    <w:p>
      <w:pPr>
        <w:spacing w:before="0" w:after="0"/>
      </w:pPr>
    </w:p>
    <w:p>
      <w:r>
        <w:t xml:space="preserve">Na ovoj šifri je iskazan iznos od 1.789.569,46 €, a sastoji se od ostvarenog manjka prihoda i primitaka u razdoblju siječanj – prosinac 2025. godine i prenesenog manjka prihoda i primitaka iz 2024. godine u iznosu od  388.963,79 €.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15.237.027,26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15.375.376,62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</w:tbl>
    <w:p>
      <w:pPr>
        <w:spacing w:before="0" w:after="0"/>
      </w:pPr>
    </w:p>
    <w:p>
      <w:r>
        <w:t xml:space="preserve">U ovom obrascu su iskazani imovina i izvori imovine u ukupnom iznosu od 15.375.376,62 €.</w:t>
      </w:r>
    </w:p>
    <w:p>
      <w:r>
        <w:t xml:space="preserve">Dugotrajna imovina je iskazana u iznosu od 13.524.614,83 €, financijska imovina iznosi 1.850.761,79 €.</w:t>
      </w:r>
    </w:p>
    <w:p>
      <w:r>
        <w:t xml:space="preserve">Financijska imovina je iskazana u umanjenom iznosu za 623.435,62 € iz razloga otpisa zastarjelih potraživanja i ispravke vrijednosti potraživanja po osnovu potraživanja za komunalnu naknadu, naknadu za uređenje voda i komunalni doprinos.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5.042.866,41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6.862.123,49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136,1</w:t>
            </w:r>
          </w:p>
        </w:tc>
      </w:tr>
    </w:tbl>
    <w:p>
      <w:pPr>
        <w:spacing w:before="0" w:after="0"/>
      </w:pPr>
    </w:p>
    <w:p>
      <w:r>
        <w:t xml:space="preserve">Ukupni rashodi ostvareni u 2025. godini sadržani su u ovom obrascu i to podijeljeni po funkcijskoj klasifikaciji.</w:t>
      </w:r>
    </w:p>
    <w:p>
      <w:r>
        <w:t xml:space="preserve">Najvećim dijelom odnose se na Usluge unapređenja stanovanja i zajednice koje su ostvarene u iznosu od 1.918.943,32 €,  te za obrazovanje utrošeno je 1.418.112,03 €, od čega na predškolsko obrazovanje 1.393.149,38 €.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P-VRIO nije bilo promjena u vrijednosti i obujmu imovine i obveza.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3.181.412,93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razdoblja siječanj – prosinac 2025. godine je 3.181.412,93 € od toga su dospjele obveze 187.383,22 €, a odnose se na rashode poslovanja u iznosu od 148.617,57 €, od čega je 142.386,19 € obveza za materijalne rashode, obveze za naknade građanima i kućanstvima u iznosu od 1.256,44 €,  ostalih obveza u iznosu od 4.884,79 € koje se  većim dijelom odnose na obveze uplate sredstava od otkupa stanova u državni proračun, 4.301,48 € obveza za nabavu nefinancijske imovine . Obveze za financijsku imovinu iznose 0,02 €.</w:t>
      </w:r>
    </w:p>
    <w:p>
      <w:r>
        <w:t xml:space="preserve">Obveze za predujmove, depozite, jamčevne pologe i tuđe prihode iznose 34.464,15 €, a većim dijelom odnose se na obveze za jamčevne pologe u iznosu od 32.335,29 €.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187.383,22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razdoblja siječanj – prosinac 2025. godine je 187.383,22 €, a odnose se na rashode poslovanja u iznosu od 148.617,57 €, od čega je 142.386,19 € obveza za materijalne rashode, obveze za naknade građanima i kućanstvima u iznosu od 1.256,44 €,  ostalih obveza u iznosu od 4.884,79 € koje se  većim dijelom odnose na obveze uplate sredstava od otkupa stanova u državni proračun, 4.301,48 € obveza za nabavu nefinancijske imovine . Obveze za financijsku imovinu iznose 0,02 €.</w:t>
      </w:r>
    </w:p>
    <w:p>
      <w:r>
        <w:t xml:space="preserve"> </w:t>
      </w:r>
    </w:p>
    <w:p>
      <w:r>
        <w:t xml:space="preserve">Obveze za predujmove, depozite, jamčevne pologe i tuđe prihode iznose 34.464,15 €, a većim dijelom odnose se na obveze za jamčevne pologe u iznosu od 32.335,29 €.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2.994.029,71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u iznosu od 2.994.029,71 € se odnose na obveze po dugoročnim i kratkoročnim kreditima kod Erste banke u iznosu od 989.875,47 €, obveze za rashode poslovanja u iznosu od 306.619,07 €, obveze za nefinancijsku imovinu iznose 64.880,61 € te obveze za  EU predujmove i tuđe prihode u iznosu od 1.632.654,56 €.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Grad Vrgorac i proračunski korisnici grada Vrgorca za razdoblje od 01.01.2025. do 31.12.2025. ostvarili su manjak prihoda i primitaka u iznosu od 1.400.605,67 €.  Ovaj manjak je rezultat ostvarenog manjka prihoda poslovanja u iznosu 232.490,09 € (šifra Y001), manjak prihoda od nefinancijske imovine u iznosu od 1.226.996,28 € (Y002) i ostvarenog viška primitaka od financijske imovine i zaduživanja u iznosu od 58.880,70 € (X003).</w:t>
      </w:r>
    </w:p>
    <w:p>
      <w:r>
        <w:t xml:space="preserve">Proračunski korisnici grada Vrgorca:</w:t>
      </w:r>
    </w:p>
    <w:p>
      <w:pPr>
        <w:pStyle w:val="ListParagraph"/>
        <w:numPr>
          <w:ilvl w:val="0"/>
          <w:numId w:val="2"/>
        </w:numPr>
      </w:pPr>
      <w:r>
        <w:t xml:space="preserve">Dječji vrtić "Pčelica" Vrgorac ostvario je manjak prihoda i primitaka u razdoblju od 01.01.2025. do 31.12.2025. godine u iznosu od 77.504,34 €, te preneseni manjak prihoda i primitaka iz 2024. godine u iznosu od 33.849,33 €. Manjak prihoda i primitaka za pokriće u sljedećem razdoblju iznosi 111.353,67 €.</w:t>
      </w:r>
    </w:p>
    <w:p>
      <w:pPr>
        <w:pStyle w:val="ListParagraph"/>
        <w:numPr>
          <w:ilvl w:val="0"/>
          <w:numId w:val="2"/>
        </w:numPr>
      </w:pPr>
      <w:r>
        <w:t xml:space="preserve">Centar za kulturu i baštinu Grada Vrgorca ostvario je manjak prihoda i primitaka u razdoblju od 01.01.2025. do 31.12.2025. godine u iznosu od 2.143,27 €, preneseni višak prihoda i primitaka iz 2024. godine u iznosu od 3.282,67 €, te je rezultat višak prihoda i primitaka u iznosu od 1.139,40 €.</w:t>
      </w:r>
    </w:p>
    <w:p>
      <w:pPr>
        <w:pStyle w:val="ListParagraph"/>
        <w:numPr>
          <w:ilvl w:val="0"/>
          <w:numId w:val="2"/>
        </w:numPr>
      </w:pPr>
      <w:r>
        <w:t xml:space="preserve">Gradska knjižnica Vrgorac ostvarila je manjak prihoda i primitaka u razdoblju od 01.01.2025. do 31.12.2025. godine u iznosu od 5.475,20 €, preneseni manjak prihoda i primitaka iz 2024. godine u iznosu od 545,24 €, te je rezultat manjak prihoda i primitaka za pokriće u sljedećem razdoblju u iznosu od 6.020,44 €.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izvještaju PR-RAS se međusobno sučeljavaju i eliminiraju prihodi koje proračunski korisnici ostavaruju iz nadležnog proračuna (671) i prijenosi proračunskim korisnicima iz nadležnog proračuna za financiranje redovne djelatnosti (367).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bd72436d564f1d" /><Relationship Type="http://schemas.openxmlformats.org/officeDocument/2006/relationships/numbering" Target="/word/numbering.xml" Id="R05a93aea943b4d96" /></Relationships>
</file>